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126A" w14:textId="147A5948" w:rsidR="00501267" w:rsidRPr="009A7F29" w:rsidRDefault="00501267" w:rsidP="006D4AEC">
      <w:pPr>
        <w:spacing w:after="0" w:line="240" w:lineRule="auto"/>
        <w:contextualSpacing/>
        <w:rPr>
          <w:rFonts w:asciiTheme="minorHAnsi" w:hAnsiTheme="minorHAnsi" w:cstheme="minorHAnsi"/>
          <w:b/>
          <w:color w:val="632423" w:themeColor="accent2" w:themeShade="80"/>
          <w:sz w:val="24"/>
          <w:szCs w:val="24"/>
        </w:rPr>
      </w:pPr>
      <w:r w:rsidRPr="009A7F29">
        <w:rPr>
          <w:rFonts w:asciiTheme="minorHAnsi" w:hAnsiTheme="minorHAnsi" w:cstheme="minorHAnsi"/>
          <w:b/>
          <w:color w:val="632423" w:themeColor="accent2" w:themeShade="80"/>
          <w:sz w:val="24"/>
          <w:szCs w:val="24"/>
        </w:rPr>
        <w:t>Office of Education</w:t>
      </w:r>
      <w:r w:rsidR="003E6A36">
        <w:rPr>
          <w:rFonts w:asciiTheme="minorHAnsi" w:hAnsiTheme="minorHAnsi" w:cstheme="minorHAnsi"/>
          <w:b/>
          <w:color w:val="632423" w:themeColor="accent2" w:themeShade="80"/>
          <w:sz w:val="24"/>
          <w:szCs w:val="24"/>
        </w:rPr>
        <w:t>al Supports</w:t>
      </w:r>
    </w:p>
    <w:p w14:paraId="3836126B" w14:textId="77777777" w:rsidR="00501267" w:rsidRPr="009A7F29" w:rsidRDefault="00501267" w:rsidP="006D4AEC">
      <w:pPr>
        <w:spacing w:after="0" w:line="240" w:lineRule="auto"/>
        <w:contextualSpacing/>
        <w:rPr>
          <w:rFonts w:asciiTheme="minorHAnsi" w:hAnsiTheme="minorHAnsi" w:cstheme="minorHAnsi"/>
          <w:b/>
          <w:color w:val="632423" w:themeColor="accent2" w:themeShade="80"/>
          <w:sz w:val="24"/>
          <w:szCs w:val="24"/>
        </w:rPr>
      </w:pPr>
      <w:r w:rsidRPr="009A7F29">
        <w:rPr>
          <w:rFonts w:asciiTheme="minorHAnsi" w:hAnsiTheme="minorHAnsi" w:cstheme="minorHAnsi"/>
          <w:b/>
          <w:i/>
          <w:color w:val="632423" w:themeColor="accent2" w:themeShade="80"/>
          <w:sz w:val="24"/>
          <w:szCs w:val="24"/>
        </w:rPr>
        <w:t>Curriculum and Instruction</w:t>
      </w:r>
    </w:p>
    <w:p w14:paraId="5CA36B50" w14:textId="77777777" w:rsidR="00BC05B7" w:rsidRDefault="00BC05B7" w:rsidP="006D4AEC">
      <w:pPr>
        <w:spacing w:after="0" w:line="240" w:lineRule="auto"/>
        <w:contextualSpacing/>
        <w:rPr>
          <w:rFonts w:asciiTheme="minorHAnsi" w:hAnsiTheme="minorHAnsi" w:cstheme="minorHAnsi"/>
          <w:b/>
          <w:color w:val="E36C0A" w:themeColor="accent6" w:themeShade="BF"/>
        </w:rPr>
      </w:pPr>
    </w:p>
    <w:p w14:paraId="3836126C" w14:textId="130C5EF4" w:rsidR="00501267" w:rsidRPr="009A7F29" w:rsidRDefault="00501267" w:rsidP="00382F90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E36C0A" w:themeColor="accent6" w:themeShade="BF"/>
        </w:rPr>
      </w:pPr>
      <w:r w:rsidRPr="009A7F29">
        <w:rPr>
          <w:rFonts w:asciiTheme="minorHAnsi" w:hAnsiTheme="minorHAnsi" w:cstheme="minorHAnsi"/>
          <w:b/>
          <w:color w:val="E36C0A" w:themeColor="accent6" w:themeShade="BF"/>
        </w:rPr>
        <w:t>Personal Curriculum</w:t>
      </w:r>
    </w:p>
    <w:p w14:paraId="3836126D" w14:textId="02A6B226" w:rsidR="00501267" w:rsidRPr="009A7F29" w:rsidRDefault="00501267" w:rsidP="006D4AEC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9A7F29">
        <w:rPr>
          <w:rFonts w:asciiTheme="minorHAnsi" w:hAnsiTheme="minorHAnsi" w:cstheme="minorHAnsi"/>
        </w:rPr>
        <w:t xml:space="preserve">The personal curriculum (PC) is a tool for modifying the MMC in order to individualize the rigor and relevance of the state graduation requirements.  All students are eligible for a </w:t>
      </w:r>
      <w:r w:rsidR="003E6A36">
        <w:rPr>
          <w:rFonts w:asciiTheme="minorHAnsi" w:hAnsiTheme="minorHAnsi" w:cstheme="minorHAnsi"/>
        </w:rPr>
        <w:t>p</w:t>
      </w:r>
      <w:r w:rsidRPr="009A7F29">
        <w:rPr>
          <w:rFonts w:asciiTheme="minorHAnsi" w:hAnsiTheme="minorHAnsi" w:cstheme="minorHAnsi"/>
        </w:rPr>
        <w:t xml:space="preserve">ersonal </w:t>
      </w:r>
      <w:r w:rsidR="00BD442C">
        <w:rPr>
          <w:rFonts w:asciiTheme="minorHAnsi" w:hAnsiTheme="minorHAnsi" w:cstheme="minorHAnsi"/>
        </w:rPr>
        <w:t>c</w:t>
      </w:r>
      <w:r w:rsidR="00BD442C" w:rsidRPr="009A7F29">
        <w:rPr>
          <w:rFonts w:asciiTheme="minorHAnsi" w:hAnsiTheme="minorHAnsi" w:cstheme="minorHAnsi"/>
        </w:rPr>
        <w:t>urriculum</w:t>
      </w:r>
      <w:r w:rsidR="00BD442C">
        <w:rPr>
          <w:rFonts w:asciiTheme="minorHAnsi" w:hAnsiTheme="minorHAnsi" w:cstheme="minorHAnsi"/>
        </w:rPr>
        <w:t>;</w:t>
      </w:r>
      <w:r w:rsidR="00B011BF">
        <w:rPr>
          <w:rFonts w:asciiTheme="minorHAnsi" w:hAnsiTheme="minorHAnsi" w:cstheme="minorHAnsi"/>
        </w:rPr>
        <w:t xml:space="preserve"> however, </w:t>
      </w:r>
      <w:r w:rsidR="0021106A">
        <w:rPr>
          <w:rFonts w:asciiTheme="minorHAnsi" w:hAnsiTheme="minorHAnsi" w:cstheme="minorHAnsi"/>
        </w:rPr>
        <w:t>modifications are limited to what is allowable by</w:t>
      </w:r>
      <w:r w:rsidR="00AB69F0">
        <w:rPr>
          <w:rFonts w:asciiTheme="minorHAnsi" w:hAnsiTheme="minorHAnsi" w:cstheme="minorHAnsi"/>
        </w:rPr>
        <w:t xml:space="preserve"> legislation according to each PC type. </w:t>
      </w:r>
    </w:p>
    <w:p w14:paraId="2A8A347D" w14:textId="77777777" w:rsidR="00BC05B7" w:rsidRDefault="00BC05B7" w:rsidP="006D4AEC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E36C0A" w:themeColor="accent6" w:themeShade="BF"/>
        </w:rPr>
      </w:pPr>
    </w:p>
    <w:p w14:paraId="383612C3" w14:textId="4A794CF5" w:rsidR="0078489B" w:rsidRPr="00600EF7" w:rsidRDefault="0070415A" w:rsidP="006D4AEC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E36C0A" w:themeColor="accent6" w:themeShade="BF"/>
        </w:rPr>
      </w:pPr>
      <w:r w:rsidRPr="00600EF7">
        <w:rPr>
          <w:rFonts w:asciiTheme="minorHAnsi" w:hAnsiTheme="minorHAnsi" w:cstheme="minorHAnsi"/>
          <w:b/>
          <w:bCs/>
          <w:color w:val="E36C0A" w:themeColor="accent6" w:themeShade="BF"/>
        </w:rPr>
        <w:t>Personal Curriculum Types</w:t>
      </w:r>
    </w:p>
    <w:p w14:paraId="6382FF02" w14:textId="32F684E9" w:rsidR="00B73E31" w:rsidRDefault="00B73E31" w:rsidP="006D4AEC">
      <w:pPr>
        <w:pStyle w:val="ListParagraph"/>
        <w:spacing w:after="0" w:line="240" w:lineRule="auto"/>
        <w:ind w:left="0"/>
      </w:pPr>
      <w:r>
        <w:t>State statute allows personal curriculum modification</w:t>
      </w:r>
      <w:r w:rsidR="001E77EA">
        <w:t>s</w:t>
      </w:r>
      <w:r>
        <w:t xml:space="preserve"> in order to: </w:t>
      </w:r>
    </w:p>
    <w:p w14:paraId="3655A634" w14:textId="77777777" w:rsidR="006D4AEC" w:rsidRDefault="006D4AEC" w:rsidP="006D4AEC">
      <w:pPr>
        <w:pStyle w:val="ListParagraph"/>
        <w:spacing w:after="0" w:line="240" w:lineRule="auto"/>
        <w:ind w:left="0"/>
      </w:pPr>
    </w:p>
    <w:p w14:paraId="61CE2D9D" w14:textId="339F7966" w:rsidR="001E77EA" w:rsidRPr="00492C0D" w:rsidRDefault="00600EF7" w:rsidP="006D4AEC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b/>
          <w:color w:val="E36C0A" w:themeColor="accent6" w:themeShade="BF"/>
        </w:rPr>
      </w:pPr>
      <w:r>
        <w:t xml:space="preserve">Go beyond the academic credit requirements by adding more math, science, English language arts, or world languages credits; or completing a department-approved formal career and technical education program. </w:t>
      </w:r>
    </w:p>
    <w:p w14:paraId="080114E6" w14:textId="146D24F1" w:rsidR="00492C0D" w:rsidRDefault="00492C0D" w:rsidP="006D4AEC">
      <w:pPr>
        <w:pStyle w:val="ListParagraph"/>
        <w:spacing w:after="0" w:line="240" w:lineRule="auto"/>
        <w:ind w:left="1440"/>
      </w:pPr>
      <w:r>
        <w:t xml:space="preserve">Students who take additional course </w:t>
      </w:r>
      <w:r w:rsidRPr="00AE7CA5">
        <w:t>work</w:t>
      </w:r>
      <w:r w:rsidRPr="00AE7CA5">
        <w:rPr>
          <w:b/>
          <w:bCs/>
        </w:rPr>
        <w:t xml:space="preserve"> </w:t>
      </w:r>
      <w:r>
        <w:t>in the areas above</w:t>
      </w:r>
      <w:r w:rsidR="00406FEF">
        <w:t xml:space="preserve"> may </w:t>
      </w:r>
      <w:r w:rsidR="00CA6AA8">
        <w:t xml:space="preserve">be able to </w:t>
      </w:r>
      <w:r w:rsidR="00406FEF">
        <w:t>give up</w:t>
      </w:r>
      <w:r w:rsidR="00E825AF">
        <w:t xml:space="preserve"> 1 MMC credit by eliminating a </w:t>
      </w:r>
      <w:r w:rsidR="00882797">
        <w:t xml:space="preserve">credit in the following; </w:t>
      </w:r>
      <w:r w:rsidR="00E41796">
        <w:t>s</w:t>
      </w:r>
      <w:r w:rsidR="00E825AF">
        <w:t xml:space="preserve">ocial </w:t>
      </w:r>
      <w:r w:rsidR="00E41796">
        <w:t>s</w:t>
      </w:r>
      <w:r w:rsidR="00E825AF">
        <w:t xml:space="preserve">tudies, </w:t>
      </w:r>
      <w:r w:rsidR="00E41796">
        <w:t>v</w:t>
      </w:r>
      <w:r w:rsidR="00B435FE">
        <w:t xml:space="preserve">isual, </w:t>
      </w:r>
      <w:r w:rsidR="00E41796">
        <w:t>p</w:t>
      </w:r>
      <w:r w:rsidR="00B435FE">
        <w:t xml:space="preserve">erforming, and </w:t>
      </w:r>
      <w:r w:rsidR="00E41796">
        <w:t>a</w:t>
      </w:r>
      <w:r w:rsidR="00B435FE">
        <w:t xml:space="preserve">pplied </w:t>
      </w:r>
      <w:r w:rsidR="00E41796">
        <w:t>a</w:t>
      </w:r>
      <w:r w:rsidR="00B435FE">
        <w:t>rts</w:t>
      </w:r>
      <w:r w:rsidR="00E41796">
        <w:t>, or h</w:t>
      </w:r>
      <w:r w:rsidR="00E41796">
        <w:t xml:space="preserve">ealth and </w:t>
      </w:r>
      <w:r w:rsidR="00E41796">
        <w:t>p</w:t>
      </w:r>
      <w:r w:rsidR="00E41796">
        <w:t xml:space="preserve">hysical </w:t>
      </w:r>
      <w:r w:rsidR="00E41796">
        <w:t>e</w:t>
      </w:r>
      <w:r w:rsidR="00E41796">
        <w:t>ducation</w:t>
      </w:r>
      <w:r w:rsidR="00AE7CA5">
        <w:t>.</w:t>
      </w:r>
    </w:p>
    <w:p w14:paraId="3A2EF3B7" w14:textId="77777777" w:rsidR="006D4AEC" w:rsidRPr="001E77EA" w:rsidRDefault="006D4AEC" w:rsidP="006D4AEC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color w:val="E36C0A" w:themeColor="accent6" w:themeShade="BF"/>
        </w:rPr>
      </w:pPr>
    </w:p>
    <w:p w14:paraId="7407494D" w14:textId="364875DE" w:rsidR="001E77EA" w:rsidRPr="006D4AEC" w:rsidRDefault="00600EF7" w:rsidP="006D4AEC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b/>
          <w:color w:val="E36C0A" w:themeColor="accent6" w:themeShade="BF"/>
        </w:rPr>
      </w:pPr>
      <w:r>
        <w:t xml:space="preserve">Modify the State Content Standards for Mathematics. </w:t>
      </w:r>
    </w:p>
    <w:p w14:paraId="6A5BB23B" w14:textId="45337573" w:rsidR="001E5F00" w:rsidRDefault="00CA6AA8" w:rsidP="006D4AEC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Students may be able to eliminate</w:t>
      </w:r>
      <w:r w:rsidR="00D67974">
        <w:rPr>
          <w:rFonts w:asciiTheme="minorHAnsi" w:hAnsiTheme="minorHAnsi" w:cstheme="minorHAnsi"/>
          <w:bCs/>
        </w:rPr>
        <w:t xml:space="preserve"> a</w:t>
      </w:r>
      <w:r>
        <w:rPr>
          <w:rFonts w:asciiTheme="minorHAnsi" w:hAnsiTheme="minorHAnsi" w:cstheme="minorHAnsi"/>
          <w:bCs/>
        </w:rPr>
        <w:t xml:space="preserve"> </w:t>
      </w:r>
      <w:r w:rsidR="00D67974">
        <w:rPr>
          <w:rFonts w:asciiTheme="minorHAnsi" w:hAnsiTheme="minorHAnsi" w:cstheme="minorHAnsi"/>
          <w:bCs/>
        </w:rPr>
        <w:t>½ credit</w:t>
      </w:r>
      <w:r>
        <w:rPr>
          <w:rFonts w:asciiTheme="minorHAnsi" w:hAnsiTheme="minorHAnsi" w:cstheme="minorHAnsi"/>
          <w:bCs/>
        </w:rPr>
        <w:t xml:space="preserve"> from the MMC math requirement. </w:t>
      </w:r>
      <w:r w:rsidR="00C747BC">
        <w:rPr>
          <w:rFonts w:asciiTheme="minorHAnsi" w:hAnsiTheme="minorHAnsi" w:cstheme="minorHAnsi"/>
          <w:bCs/>
        </w:rPr>
        <w:t xml:space="preserve">This modification </w:t>
      </w:r>
      <w:r w:rsidR="004902B3">
        <w:rPr>
          <w:rFonts w:asciiTheme="minorHAnsi" w:hAnsiTheme="minorHAnsi" w:cstheme="minorHAnsi"/>
          <w:bCs/>
        </w:rPr>
        <w:t>c</w:t>
      </w:r>
      <w:r w:rsidR="00C747BC">
        <w:rPr>
          <w:rFonts w:asciiTheme="minorHAnsi" w:hAnsiTheme="minorHAnsi" w:cstheme="minorHAnsi"/>
          <w:bCs/>
        </w:rPr>
        <w:t>ould be done by eliminating half of algebra II in a traditional course sequence</w:t>
      </w:r>
      <w:r w:rsidR="008C718A">
        <w:rPr>
          <w:rFonts w:asciiTheme="minorHAnsi" w:hAnsiTheme="minorHAnsi" w:cstheme="minorHAnsi"/>
          <w:bCs/>
        </w:rPr>
        <w:t xml:space="preserve"> but could be done in other ways as long as no more than </w:t>
      </w:r>
      <w:r w:rsidR="00D67974">
        <w:rPr>
          <w:rFonts w:asciiTheme="minorHAnsi" w:hAnsiTheme="minorHAnsi" w:cstheme="minorHAnsi"/>
          <w:bCs/>
        </w:rPr>
        <w:t xml:space="preserve">1/2 </w:t>
      </w:r>
      <w:r w:rsidR="001806D0">
        <w:rPr>
          <w:rFonts w:asciiTheme="minorHAnsi" w:hAnsiTheme="minorHAnsi" w:cstheme="minorHAnsi"/>
          <w:bCs/>
        </w:rPr>
        <w:t xml:space="preserve">credit </w:t>
      </w:r>
      <w:r w:rsidR="00C22738">
        <w:rPr>
          <w:rFonts w:asciiTheme="minorHAnsi" w:hAnsiTheme="minorHAnsi" w:cstheme="minorHAnsi"/>
          <w:bCs/>
        </w:rPr>
        <w:t>of content</w:t>
      </w:r>
      <w:r w:rsidR="004D5E6C">
        <w:rPr>
          <w:rFonts w:asciiTheme="minorHAnsi" w:hAnsiTheme="minorHAnsi" w:cstheme="minorHAnsi"/>
          <w:bCs/>
        </w:rPr>
        <w:t xml:space="preserve"> standards</w:t>
      </w:r>
      <w:r w:rsidR="00C22738">
        <w:rPr>
          <w:rFonts w:asciiTheme="minorHAnsi" w:hAnsiTheme="minorHAnsi" w:cstheme="minorHAnsi"/>
          <w:bCs/>
        </w:rPr>
        <w:t xml:space="preserve"> </w:t>
      </w:r>
      <w:r w:rsidR="004D5E6C">
        <w:rPr>
          <w:rFonts w:asciiTheme="minorHAnsi" w:hAnsiTheme="minorHAnsi" w:cstheme="minorHAnsi"/>
          <w:bCs/>
        </w:rPr>
        <w:t xml:space="preserve">are </w:t>
      </w:r>
      <w:r w:rsidR="00C22738">
        <w:rPr>
          <w:rFonts w:asciiTheme="minorHAnsi" w:hAnsiTheme="minorHAnsi" w:cstheme="minorHAnsi"/>
          <w:bCs/>
        </w:rPr>
        <w:t xml:space="preserve">removed. </w:t>
      </w:r>
    </w:p>
    <w:p w14:paraId="6391703D" w14:textId="77777777" w:rsidR="00D83BA7" w:rsidRPr="001E77EA" w:rsidRDefault="00D83BA7" w:rsidP="006D4AEC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color w:val="E36C0A" w:themeColor="accent6" w:themeShade="BF"/>
        </w:rPr>
      </w:pPr>
    </w:p>
    <w:p w14:paraId="4500DF72" w14:textId="77777777" w:rsidR="0081265C" w:rsidRDefault="00600EF7" w:rsidP="006D4AEC">
      <w:pPr>
        <w:spacing w:after="0" w:line="240" w:lineRule="auto"/>
        <w:ind w:left="720" w:hanging="360"/>
        <w:contextualSpacing/>
      </w:pPr>
      <w:r>
        <w:t xml:space="preserve">• </w:t>
      </w:r>
      <w:r w:rsidR="001E77EA">
        <w:tab/>
      </w:r>
      <w:r>
        <w:t xml:space="preserve">Modify, when necessary, the credit requirements of a student with an Individualized Education Program (IEP). </w:t>
      </w:r>
    </w:p>
    <w:p w14:paraId="15D876AB" w14:textId="155AE665" w:rsidR="004D4FF0" w:rsidRDefault="00C72CCE" w:rsidP="006D4AEC">
      <w:pPr>
        <w:spacing w:after="0" w:line="240" w:lineRule="auto"/>
        <w:ind w:left="1530"/>
        <w:contextualSpacing/>
      </w:pPr>
      <w:r>
        <w:t xml:space="preserve">Students who have IEP’s </w:t>
      </w:r>
      <w:r w:rsidR="00391C02">
        <w:t>could us</w:t>
      </w:r>
      <w:r w:rsidR="00DF00B4">
        <w:t>e</w:t>
      </w:r>
      <w:r w:rsidR="00391C02">
        <w:t xml:space="preserve"> a PC to</w:t>
      </w:r>
      <w:r>
        <w:t xml:space="preserve"> modify </w:t>
      </w:r>
      <w:r w:rsidR="0081795B">
        <w:t>any MMC requirements</w:t>
      </w:r>
      <w:r w:rsidR="004226BE">
        <w:t xml:space="preserve">. </w:t>
      </w:r>
      <w:r w:rsidR="00AF1FC6">
        <w:t>Modifications should</w:t>
      </w:r>
      <w:r w:rsidR="004226BE">
        <w:t xml:space="preserve"> take into consideration the IEP</w:t>
      </w:r>
      <w:r w:rsidR="00156B71">
        <w:t xml:space="preserve"> and </w:t>
      </w:r>
      <w:r w:rsidR="004226BE">
        <w:t>EDP</w:t>
      </w:r>
      <w:r w:rsidR="00156B71">
        <w:t xml:space="preserve"> as well as </w:t>
      </w:r>
      <w:r w:rsidR="00215CDF">
        <w:t>ensuring</w:t>
      </w:r>
      <w:r w:rsidR="00156B71">
        <w:t xml:space="preserve"> each student</w:t>
      </w:r>
      <w:r w:rsidR="00555A01">
        <w:t xml:space="preserve"> in</w:t>
      </w:r>
      <w:r w:rsidR="00555A01">
        <w:t xml:space="preserve">corporates as much of the subject area content expectations as </w:t>
      </w:r>
      <w:r w:rsidR="009A748F">
        <w:t>possible</w:t>
      </w:r>
      <w:r w:rsidR="00BC05B7">
        <w:t xml:space="preserve"> into their course of study</w:t>
      </w:r>
      <w:r w:rsidR="009A748F">
        <w:t>.</w:t>
      </w:r>
    </w:p>
    <w:p w14:paraId="5462535E" w14:textId="77777777" w:rsidR="00D83BA7" w:rsidRDefault="00D83BA7" w:rsidP="006D4AEC">
      <w:pPr>
        <w:spacing w:after="0" w:line="240" w:lineRule="auto"/>
        <w:ind w:left="1530"/>
        <w:contextualSpacing/>
      </w:pPr>
    </w:p>
    <w:p w14:paraId="24C64C72" w14:textId="2BEBA254" w:rsidR="0070415A" w:rsidRDefault="00600EF7" w:rsidP="006D4AEC">
      <w:pPr>
        <w:spacing w:after="0" w:line="240" w:lineRule="auto"/>
        <w:ind w:left="720" w:hanging="360"/>
        <w:contextualSpacing/>
      </w:pPr>
      <w:r>
        <w:t xml:space="preserve">• </w:t>
      </w:r>
      <w:r w:rsidR="001E77EA">
        <w:tab/>
      </w:r>
      <w:r>
        <w:t>Modify credit requirements for a student who transfers from out of state or from a nonpublic school and is unable to meet the MMC requirements.</w:t>
      </w:r>
    </w:p>
    <w:p w14:paraId="265F69AB" w14:textId="2261EDD9" w:rsidR="00AF1FC6" w:rsidRDefault="00C5038F" w:rsidP="00AF1FC6">
      <w:pPr>
        <w:spacing w:after="0" w:line="240" w:lineRule="auto"/>
        <w:ind w:left="1530"/>
        <w:contextualSpacing/>
      </w:pPr>
      <w:r>
        <w:t>St</w:t>
      </w:r>
      <w:r>
        <w:t>udent</w:t>
      </w:r>
      <w:r w:rsidR="00024656">
        <w:t>s</w:t>
      </w:r>
      <w:bookmarkStart w:id="0" w:name="_GoBack"/>
      <w:bookmarkEnd w:id="0"/>
      <w:r>
        <w:t xml:space="preserve"> from out of state or from a nonpublic school may request a PC to modify the requirements of the MMC</w:t>
      </w:r>
      <w:r w:rsidR="00AF1FC6">
        <w:t xml:space="preserve">. </w:t>
      </w:r>
      <w:r w:rsidR="00AF1FC6">
        <w:t xml:space="preserve">Modifications should take into consideration the EDP as well as </w:t>
      </w:r>
      <w:r w:rsidR="00215CDF">
        <w:t>ensuring</w:t>
      </w:r>
      <w:r w:rsidR="00AF1FC6">
        <w:t xml:space="preserve"> each student incorporates as much of the subject area content expectations as possible</w:t>
      </w:r>
      <w:r w:rsidR="00BC05B7">
        <w:t xml:space="preserve"> into their course of study</w:t>
      </w:r>
      <w:r w:rsidR="00AF1FC6">
        <w:t>.</w:t>
      </w:r>
    </w:p>
    <w:p w14:paraId="09BF3920" w14:textId="2475D76E" w:rsidR="009A748F" w:rsidRPr="001E77EA" w:rsidRDefault="009A748F" w:rsidP="00C5038F">
      <w:pPr>
        <w:spacing w:after="0" w:line="240" w:lineRule="auto"/>
        <w:ind w:left="1440"/>
        <w:contextualSpacing/>
        <w:rPr>
          <w:rFonts w:asciiTheme="minorHAnsi" w:hAnsiTheme="minorHAnsi" w:cstheme="minorHAnsi"/>
          <w:b/>
          <w:color w:val="E36C0A" w:themeColor="accent6" w:themeShade="BF"/>
        </w:rPr>
      </w:pPr>
    </w:p>
    <w:p w14:paraId="383612C4" w14:textId="2C3804DE" w:rsidR="009A7F29" w:rsidRPr="009A7F29" w:rsidRDefault="009A7F29" w:rsidP="006D4AEC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color w:val="E36C0A" w:themeColor="accent6" w:themeShade="BF"/>
        </w:rPr>
      </w:pPr>
      <w:r w:rsidRPr="009A7F29">
        <w:rPr>
          <w:rFonts w:asciiTheme="minorHAnsi" w:hAnsiTheme="minorHAnsi" w:cstheme="minorHAnsi"/>
          <w:b/>
          <w:color w:val="E36C0A" w:themeColor="accent6" w:themeShade="BF"/>
        </w:rPr>
        <w:t>Resources</w:t>
      </w:r>
    </w:p>
    <w:p w14:paraId="383612C5" w14:textId="77777777" w:rsidR="009A7F29" w:rsidRPr="009A7F29" w:rsidRDefault="009A7F29" w:rsidP="006D4AEC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383612C6" w14:textId="77777777" w:rsidR="0078489B" w:rsidRPr="009A7F29" w:rsidRDefault="008B56AE" w:rsidP="006D4AE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9A7F29">
        <w:rPr>
          <w:rFonts w:asciiTheme="minorHAnsi" w:hAnsiTheme="minorHAnsi" w:cstheme="minorHAnsi"/>
        </w:rPr>
        <w:t xml:space="preserve">MDE Guidelines, FAQs, Parent Guides, and Michigan Merit Curriculum (MMC) available at </w:t>
      </w:r>
      <w:r w:rsidR="0078489B" w:rsidRPr="009A7F29">
        <w:rPr>
          <w:rFonts w:asciiTheme="minorHAnsi" w:hAnsiTheme="minorHAnsi" w:cstheme="minorHAnsi"/>
        </w:rPr>
        <w:t xml:space="preserve"> </w:t>
      </w:r>
      <w:hyperlink r:id="rId7" w:history="1">
        <w:r w:rsidR="0078489B" w:rsidRPr="009A7F29">
          <w:rPr>
            <w:rStyle w:val="Hyperlink"/>
            <w:rFonts w:asciiTheme="minorHAnsi" w:hAnsiTheme="minorHAnsi" w:cstheme="minorHAnsi"/>
          </w:rPr>
          <w:t>www.michigan.gov/highschool</w:t>
        </w:r>
      </w:hyperlink>
    </w:p>
    <w:p w14:paraId="383612CA" w14:textId="77777777" w:rsidR="0078489B" w:rsidRPr="009A7F29" w:rsidRDefault="0078489B" w:rsidP="006D4AEC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sectPr w:rsidR="0078489B" w:rsidRPr="009A7F29" w:rsidSect="009A7F29">
      <w:headerReference w:type="default" r:id="rId8"/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612CD" w14:textId="77777777" w:rsidR="001C1525" w:rsidRDefault="001C1525" w:rsidP="00501267">
      <w:pPr>
        <w:spacing w:after="0" w:line="240" w:lineRule="auto"/>
      </w:pPr>
      <w:r>
        <w:separator/>
      </w:r>
    </w:p>
  </w:endnote>
  <w:endnote w:type="continuationSeparator" w:id="0">
    <w:p w14:paraId="383612CE" w14:textId="77777777" w:rsidR="001C1525" w:rsidRDefault="001C1525" w:rsidP="0050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612CB" w14:textId="77777777" w:rsidR="001C1525" w:rsidRDefault="001C1525" w:rsidP="00501267">
      <w:pPr>
        <w:spacing w:after="0" w:line="240" w:lineRule="auto"/>
      </w:pPr>
      <w:r>
        <w:separator/>
      </w:r>
    </w:p>
  </w:footnote>
  <w:footnote w:type="continuationSeparator" w:id="0">
    <w:p w14:paraId="383612CC" w14:textId="77777777" w:rsidR="001C1525" w:rsidRDefault="001C1525" w:rsidP="0050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12CF" w14:textId="77777777" w:rsidR="00501267" w:rsidRDefault="00501267">
    <w:pPr>
      <w:pStyle w:val="Header"/>
    </w:pPr>
    <w:r>
      <w:rPr>
        <w:noProof/>
      </w:rPr>
      <w:drawing>
        <wp:inline distT="0" distB="0" distL="0" distR="0" wp14:anchorId="383612D0" wp14:editId="383612D1">
          <wp:extent cx="5943600" cy="4965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ls ch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C45"/>
    <w:multiLevelType w:val="hybridMultilevel"/>
    <w:tmpl w:val="8E42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A56"/>
    <w:multiLevelType w:val="hybridMultilevel"/>
    <w:tmpl w:val="049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76B2"/>
    <w:multiLevelType w:val="hybridMultilevel"/>
    <w:tmpl w:val="AEB2648C"/>
    <w:lvl w:ilvl="0" w:tplc="A48E7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C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AB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4F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A7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A0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ED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0F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63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A17A17"/>
    <w:multiLevelType w:val="hybridMultilevel"/>
    <w:tmpl w:val="1F8C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4356"/>
    <w:multiLevelType w:val="hybridMultilevel"/>
    <w:tmpl w:val="F05E07C2"/>
    <w:lvl w:ilvl="0" w:tplc="F1107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8D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63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C5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A1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0B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4A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2D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47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BC03F3"/>
    <w:multiLevelType w:val="hybridMultilevel"/>
    <w:tmpl w:val="67E4E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02005"/>
    <w:multiLevelType w:val="hybridMultilevel"/>
    <w:tmpl w:val="43766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967ABA"/>
    <w:multiLevelType w:val="hybridMultilevel"/>
    <w:tmpl w:val="2034E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B72A8C"/>
    <w:multiLevelType w:val="hybridMultilevel"/>
    <w:tmpl w:val="DD08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12906"/>
    <w:multiLevelType w:val="hybridMultilevel"/>
    <w:tmpl w:val="ED22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13E49"/>
    <w:multiLevelType w:val="hybridMultilevel"/>
    <w:tmpl w:val="50F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17DEB"/>
    <w:multiLevelType w:val="hybridMultilevel"/>
    <w:tmpl w:val="0AC4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C6E3E"/>
    <w:multiLevelType w:val="hybridMultilevel"/>
    <w:tmpl w:val="0E762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9529A"/>
    <w:multiLevelType w:val="hybridMultilevel"/>
    <w:tmpl w:val="0A42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0015C"/>
    <w:multiLevelType w:val="hybridMultilevel"/>
    <w:tmpl w:val="CB6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0491"/>
    <w:multiLevelType w:val="hybridMultilevel"/>
    <w:tmpl w:val="41D61F2A"/>
    <w:lvl w:ilvl="0" w:tplc="9072D8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C2D14"/>
    <w:multiLevelType w:val="hybridMultilevel"/>
    <w:tmpl w:val="4E1CF8E6"/>
    <w:lvl w:ilvl="0" w:tplc="37A89B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38E26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508D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0743A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990B9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7BC3A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8AC3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80CC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3E008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6F63782F"/>
    <w:multiLevelType w:val="hybridMultilevel"/>
    <w:tmpl w:val="0BDC50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3604E6"/>
    <w:multiLevelType w:val="hybridMultilevel"/>
    <w:tmpl w:val="3A7E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451A7"/>
    <w:multiLevelType w:val="hybridMultilevel"/>
    <w:tmpl w:val="513CF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7"/>
  </w:num>
  <w:num w:numId="5">
    <w:abstractNumId w:val="6"/>
  </w:num>
  <w:num w:numId="6">
    <w:abstractNumId w:val="9"/>
  </w:num>
  <w:num w:numId="7">
    <w:abstractNumId w:val="11"/>
  </w:num>
  <w:num w:numId="8">
    <w:abstractNumId w:val="14"/>
  </w:num>
  <w:num w:numId="9">
    <w:abstractNumId w:val="18"/>
  </w:num>
  <w:num w:numId="10">
    <w:abstractNumId w:val="10"/>
  </w:num>
  <w:num w:numId="11">
    <w:abstractNumId w:val="3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  <w:num w:numId="16">
    <w:abstractNumId w:val="12"/>
  </w:num>
  <w:num w:numId="17">
    <w:abstractNumId w:val="15"/>
  </w:num>
  <w:num w:numId="18">
    <w:abstractNumId w:val="5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67"/>
    <w:rsid w:val="00024656"/>
    <w:rsid w:val="00054D4C"/>
    <w:rsid w:val="000566F5"/>
    <w:rsid w:val="000E405B"/>
    <w:rsid w:val="00136BC1"/>
    <w:rsid w:val="00140BAE"/>
    <w:rsid w:val="00156B71"/>
    <w:rsid w:val="001806D0"/>
    <w:rsid w:val="001B45FD"/>
    <w:rsid w:val="001C1525"/>
    <w:rsid w:val="001E5F00"/>
    <w:rsid w:val="001E77EA"/>
    <w:rsid w:val="00200294"/>
    <w:rsid w:val="0021106A"/>
    <w:rsid w:val="00215CDF"/>
    <w:rsid w:val="002A7F81"/>
    <w:rsid w:val="002C0167"/>
    <w:rsid w:val="00367D31"/>
    <w:rsid w:val="00382F90"/>
    <w:rsid w:val="00391C02"/>
    <w:rsid w:val="00396F81"/>
    <w:rsid w:val="003E6A36"/>
    <w:rsid w:val="00406FEF"/>
    <w:rsid w:val="00420822"/>
    <w:rsid w:val="004226BE"/>
    <w:rsid w:val="004902B3"/>
    <w:rsid w:val="00492C0D"/>
    <w:rsid w:val="004976EC"/>
    <w:rsid w:val="004D4FF0"/>
    <w:rsid w:val="004D5E6C"/>
    <w:rsid w:val="00501267"/>
    <w:rsid w:val="00555A01"/>
    <w:rsid w:val="00590CCC"/>
    <w:rsid w:val="00595786"/>
    <w:rsid w:val="00600EF7"/>
    <w:rsid w:val="006D4AEC"/>
    <w:rsid w:val="0070415A"/>
    <w:rsid w:val="00734BDB"/>
    <w:rsid w:val="0078489B"/>
    <w:rsid w:val="0081265C"/>
    <w:rsid w:val="0081795B"/>
    <w:rsid w:val="00882797"/>
    <w:rsid w:val="008B56AE"/>
    <w:rsid w:val="008C718A"/>
    <w:rsid w:val="009A748F"/>
    <w:rsid w:val="009A7F29"/>
    <w:rsid w:val="00AB69F0"/>
    <w:rsid w:val="00AD2C0E"/>
    <w:rsid w:val="00AE7CA5"/>
    <w:rsid w:val="00AF1FC6"/>
    <w:rsid w:val="00B011BF"/>
    <w:rsid w:val="00B435FE"/>
    <w:rsid w:val="00B73E31"/>
    <w:rsid w:val="00BC05B7"/>
    <w:rsid w:val="00BD442C"/>
    <w:rsid w:val="00BF1EBA"/>
    <w:rsid w:val="00C22738"/>
    <w:rsid w:val="00C23050"/>
    <w:rsid w:val="00C42C89"/>
    <w:rsid w:val="00C5038F"/>
    <w:rsid w:val="00C72CCE"/>
    <w:rsid w:val="00C747BC"/>
    <w:rsid w:val="00CA6AA8"/>
    <w:rsid w:val="00D67974"/>
    <w:rsid w:val="00D83BA7"/>
    <w:rsid w:val="00D9122C"/>
    <w:rsid w:val="00DF00B4"/>
    <w:rsid w:val="00E012E7"/>
    <w:rsid w:val="00E41796"/>
    <w:rsid w:val="00E7680B"/>
    <w:rsid w:val="00E825AF"/>
    <w:rsid w:val="00EA43B0"/>
    <w:rsid w:val="00ED3244"/>
    <w:rsid w:val="00EE3BB7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126A"/>
  <w15:docId w15:val="{160B6A0E-4FDA-4644-8108-74E279A8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2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67"/>
  </w:style>
  <w:style w:type="paragraph" w:styleId="Footer">
    <w:name w:val="footer"/>
    <w:basedOn w:val="Normal"/>
    <w:link w:val="FooterChar"/>
    <w:uiPriority w:val="99"/>
    <w:unhideWhenUsed/>
    <w:rsid w:val="0050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67"/>
  </w:style>
  <w:style w:type="paragraph" w:styleId="BalloonText">
    <w:name w:val="Balloon Text"/>
    <w:basedOn w:val="Normal"/>
    <w:link w:val="BalloonTextChar"/>
    <w:uiPriority w:val="99"/>
    <w:semiHidden/>
    <w:unhideWhenUsed/>
    <w:rsid w:val="0050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BC1"/>
    <w:pPr>
      <w:ind w:left="720"/>
      <w:contextualSpacing/>
    </w:pPr>
  </w:style>
  <w:style w:type="paragraph" w:customStyle="1" w:styleId="Default">
    <w:name w:val="Default"/>
    <w:rsid w:val="00136B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2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78489B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78489B"/>
    <w:rPr>
      <w:rFonts w:cs="Verdana"/>
      <w:color w:val="000000"/>
      <w:sz w:val="14"/>
      <w:szCs w:val="14"/>
    </w:rPr>
  </w:style>
  <w:style w:type="character" w:customStyle="1" w:styleId="A9">
    <w:name w:val="A9"/>
    <w:uiPriority w:val="99"/>
    <w:rsid w:val="0078489B"/>
    <w:rPr>
      <w:rFonts w:cs="Verdana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784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25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11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67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27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69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6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00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chigan,gov/high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Bowerman, Rashell (MDE)</dc:creator>
  <cp:keywords/>
  <dc:description/>
  <cp:lastModifiedBy>Bowerman, Rashell (MDE)</cp:lastModifiedBy>
  <cp:revision>2</cp:revision>
  <cp:lastPrinted>2013-04-23T17:38:00Z</cp:lastPrinted>
  <dcterms:created xsi:type="dcterms:W3CDTF">2019-08-27T17:50:00Z</dcterms:created>
  <dcterms:modified xsi:type="dcterms:W3CDTF">2019-08-27T17:50:00Z</dcterms:modified>
</cp:coreProperties>
</file>